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59" w:rsidRDefault="004E0859" w:rsidP="001A3B3F">
      <w:pPr>
        <w:pStyle w:val="Titolo"/>
        <w:rPr>
          <w:rFonts w:eastAsia="Times New Roman"/>
          <w:lang w:eastAsia="it-IT"/>
        </w:rPr>
      </w:pPr>
    </w:p>
    <w:p w:rsidR="001A3B3F" w:rsidRPr="001A3B3F" w:rsidRDefault="004E0859" w:rsidP="001A3B3F">
      <w:pPr>
        <w:pStyle w:val="Titolo"/>
      </w:pPr>
      <w:r>
        <w:rPr>
          <w:rFonts w:eastAsia="Times New Roman"/>
          <w:lang w:eastAsia="it-IT"/>
        </w:rPr>
        <w:t xml:space="preserve">Mission </w:t>
      </w:r>
      <w:r w:rsidRPr="001A3B3F">
        <w:t>Exposure</w:t>
      </w:r>
      <w:r>
        <w:rPr>
          <w:rFonts w:eastAsia="Times New Roman"/>
          <w:lang w:eastAsia="it-IT"/>
        </w:rPr>
        <w:t xml:space="preserve"> 201</w:t>
      </w:r>
      <w:r w:rsidR="00412D54">
        <w:rPr>
          <w:rFonts w:eastAsia="Times New Roman"/>
          <w:lang w:eastAsia="it-IT"/>
        </w:rPr>
        <w:t>9/2020</w:t>
      </w:r>
      <w:bookmarkStart w:id="0" w:name="_GoBack"/>
      <w:bookmarkEnd w:id="0"/>
      <w:r>
        <w:rPr>
          <w:rFonts w:eastAsia="Times New Roman"/>
          <w:lang w:eastAsia="it-IT"/>
        </w:rPr>
        <w:t xml:space="preserve"> </w:t>
      </w:r>
      <w:r>
        <w:rPr>
          <w:rFonts w:eastAsia="Times New Roman"/>
          <w:lang w:eastAsia="it-IT"/>
        </w:rPr>
        <w:br/>
      </w:r>
      <w:r w:rsidRPr="00EE4AC4">
        <w:rPr>
          <w:rFonts w:eastAsia="Times New Roman"/>
          <w:lang w:eastAsia="it-IT"/>
        </w:rPr>
        <w:t>Scheda P</w:t>
      </w:r>
      <w:r>
        <w:rPr>
          <w:rFonts w:eastAsia="Times New Roman"/>
          <w:lang w:eastAsia="it-IT"/>
        </w:rPr>
        <w:t>rogetto</w:t>
      </w:r>
    </w:p>
    <w:tbl>
      <w:tblPr>
        <w:tblpPr w:leftFromText="141" w:rightFromText="141" w:vertAnchor="text" w:horzAnchor="margin" w:tblpY="592"/>
        <w:tblW w:w="9894" w:type="dxa"/>
        <w:tblLook w:val="04A0" w:firstRow="1" w:lastRow="0" w:firstColumn="1" w:lastColumn="0" w:noHBand="0" w:noVBand="1"/>
      </w:tblPr>
      <w:tblGrid>
        <w:gridCol w:w="2518"/>
        <w:gridCol w:w="7376"/>
      </w:tblGrid>
      <w:tr w:rsidR="00A15D69" w:rsidRPr="004D17CD" w:rsidTr="00A15D69">
        <w:trPr>
          <w:trHeight w:val="940"/>
        </w:trPr>
        <w:tc>
          <w:tcPr>
            <w:tcW w:w="2518" w:type="dxa"/>
          </w:tcPr>
          <w:p w:rsidR="00A15D69" w:rsidRPr="004D17CD" w:rsidRDefault="00A15D69" w:rsidP="004E0859">
            <w:pPr>
              <w:pStyle w:val="Titolo1"/>
            </w:pPr>
            <w:r w:rsidRPr="004D17CD">
              <w:t>Responsabili</w:t>
            </w:r>
          </w:p>
        </w:tc>
        <w:tc>
          <w:tcPr>
            <w:tcW w:w="7376" w:type="dxa"/>
          </w:tcPr>
          <w:p w:rsidR="00A15D69" w:rsidRPr="004D17CD" w:rsidRDefault="00A15D69" w:rsidP="00A15D69">
            <w:r w:rsidRPr="004D17CD">
              <w:t>CENTRO PASTORALE UCSC</w:t>
            </w:r>
          </w:p>
          <w:p w:rsidR="00A15D69" w:rsidRPr="004D17CD" w:rsidRDefault="00A15D69" w:rsidP="00A15D69">
            <w:r w:rsidRPr="004D17CD">
              <w:t xml:space="preserve">Padre </w:t>
            </w:r>
            <w:r>
              <w:t xml:space="preserve">Alessandro </w:t>
            </w:r>
            <w:r w:rsidR="00412D54">
              <w:t>Canali</w:t>
            </w:r>
          </w:p>
          <w:p w:rsidR="00A15D69" w:rsidRPr="004D17CD" w:rsidRDefault="00A15D69" w:rsidP="00412D54">
            <w:r>
              <w:t xml:space="preserve">Sr </w:t>
            </w:r>
            <w:r w:rsidR="00412D54">
              <w:t xml:space="preserve">Valeria </w:t>
            </w:r>
            <w:proofErr w:type="spellStart"/>
            <w:r w:rsidR="00412D54">
              <w:t>Ducatelli</w:t>
            </w:r>
            <w:proofErr w:type="spellEnd"/>
          </w:p>
        </w:tc>
      </w:tr>
      <w:tr w:rsidR="00A15D69" w:rsidRPr="004D17CD" w:rsidTr="00A15D69">
        <w:trPr>
          <w:trHeight w:val="344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 xml:space="preserve">Ente capofila </w:t>
            </w:r>
          </w:p>
        </w:tc>
        <w:tc>
          <w:tcPr>
            <w:tcW w:w="7376" w:type="dxa"/>
          </w:tcPr>
          <w:p w:rsidR="00A15D69" w:rsidRPr="004D17CD" w:rsidRDefault="00A15D69" w:rsidP="00A15D69">
            <w:r w:rsidRPr="004D17CD">
              <w:t>Università Cattolica del Sacro Cuore</w:t>
            </w:r>
          </w:p>
        </w:tc>
      </w:tr>
      <w:tr w:rsidR="00A15D69" w:rsidRPr="004D17CD" w:rsidTr="00A15D69">
        <w:trPr>
          <w:trHeight w:val="624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>Paese</w:t>
            </w:r>
          </w:p>
        </w:tc>
        <w:tc>
          <w:tcPr>
            <w:tcW w:w="7376" w:type="dxa"/>
          </w:tcPr>
          <w:p w:rsidR="00A15D69" w:rsidRPr="004D17CD" w:rsidRDefault="00A15D69" w:rsidP="00A15D69">
            <w:r w:rsidRPr="004D17CD">
              <w:t>Brasile</w:t>
            </w:r>
          </w:p>
          <w:p w:rsidR="00A15D69" w:rsidRPr="004D17CD" w:rsidRDefault="00A15D69" w:rsidP="00A15D69">
            <w:r>
              <w:t>Cina</w:t>
            </w:r>
          </w:p>
          <w:p w:rsidR="00A15D69" w:rsidRDefault="00412D54" w:rsidP="00A15D69">
            <w:r>
              <w:t>Bangladesh</w:t>
            </w:r>
          </w:p>
          <w:p w:rsidR="004E0859" w:rsidRDefault="004E0859" w:rsidP="00A15D69">
            <w:r>
              <w:t>Haiti</w:t>
            </w:r>
          </w:p>
          <w:p w:rsidR="004E0859" w:rsidRDefault="004E0859" w:rsidP="00A15D69">
            <w:r>
              <w:t>India</w:t>
            </w:r>
          </w:p>
          <w:p w:rsidR="00A15D69" w:rsidRDefault="00A15D69" w:rsidP="00A15D69">
            <w:r>
              <w:t>Filippine</w:t>
            </w:r>
          </w:p>
          <w:p w:rsidR="004E0859" w:rsidRPr="004D17CD" w:rsidRDefault="004E0859" w:rsidP="00A15D69">
            <w:r>
              <w:t>Mozambico</w:t>
            </w:r>
          </w:p>
          <w:p w:rsidR="00A15D69" w:rsidRDefault="004E0859" w:rsidP="004E0859">
            <w:r>
              <w:t>Uganda</w:t>
            </w:r>
          </w:p>
          <w:p w:rsidR="004E0859" w:rsidRPr="004E0859" w:rsidRDefault="004E0859" w:rsidP="004E0859"/>
        </w:tc>
      </w:tr>
      <w:tr w:rsidR="00A15D69" w:rsidRPr="004D17CD" w:rsidTr="00A15D69">
        <w:trPr>
          <w:trHeight w:val="376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 xml:space="preserve">Data prevista di avvio </w:t>
            </w:r>
          </w:p>
        </w:tc>
        <w:tc>
          <w:tcPr>
            <w:tcW w:w="7376" w:type="dxa"/>
          </w:tcPr>
          <w:p w:rsidR="00A15D69" w:rsidRPr="004D17CD" w:rsidRDefault="00412D54" w:rsidP="008817B5">
            <w:r>
              <w:t>Novembre</w:t>
            </w:r>
            <w:r w:rsidR="00A15D69" w:rsidRPr="004D17CD">
              <w:t xml:space="preserve"> 201</w:t>
            </w:r>
            <w:r w:rsidR="008817B5">
              <w:t>7</w:t>
            </w:r>
          </w:p>
        </w:tc>
      </w:tr>
      <w:tr w:rsidR="00A15D69" w:rsidRPr="004D17CD" w:rsidTr="00A15D69">
        <w:trPr>
          <w:trHeight w:val="358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 xml:space="preserve">Durata </w:t>
            </w:r>
          </w:p>
        </w:tc>
        <w:tc>
          <w:tcPr>
            <w:tcW w:w="7376" w:type="dxa"/>
          </w:tcPr>
          <w:p w:rsidR="00A15D69" w:rsidRPr="004D17CD" w:rsidRDefault="004E0859" w:rsidP="00A15D69">
            <w:r>
              <w:t>12</w:t>
            </w:r>
            <w:r w:rsidR="00A15D69" w:rsidRPr="004D17CD">
              <w:t xml:space="preserve"> mesi</w:t>
            </w:r>
          </w:p>
        </w:tc>
      </w:tr>
      <w:tr w:rsidR="00A15D69" w:rsidRPr="004D17CD" w:rsidTr="00A15D69">
        <w:trPr>
          <w:trHeight w:val="624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>Ambito prevalente di intervento</w:t>
            </w:r>
          </w:p>
        </w:tc>
        <w:tc>
          <w:tcPr>
            <w:tcW w:w="7376" w:type="dxa"/>
          </w:tcPr>
          <w:p w:rsidR="00A15D69" w:rsidRPr="004D17CD" w:rsidRDefault="00A15D69" w:rsidP="00A15D69">
            <w:r w:rsidRPr="004D17CD">
              <w:t>Sociale</w:t>
            </w:r>
          </w:p>
        </w:tc>
      </w:tr>
      <w:tr w:rsidR="00A15D69" w:rsidRPr="004D17CD" w:rsidTr="00A15D69">
        <w:trPr>
          <w:trHeight w:val="444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>Altri ambiti</w:t>
            </w:r>
          </w:p>
        </w:tc>
        <w:tc>
          <w:tcPr>
            <w:tcW w:w="7376" w:type="dxa"/>
          </w:tcPr>
          <w:p w:rsidR="00A15D69" w:rsidRPr="004D17CD" w:rsidRDefault="00A15D69" w:rsidP="00A15D69">
            <w:r w:rsidRPr="004D17CD">
              <w:t>Educativo, Formazione</w:t>
            </w:r>
          </w:p>
        </w:tc>
      </w:tr>
      <w:tr w:rsidR="00A15D69" w:rsidRPr="004D17CD" w:rsidTr="00A15D69">
        <w:trPr>
          <w:trHeight w:val="624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>Destinatari diretti</w:t>
            </w:r>
          </w:p>
        </w:tc>
        <w:tc>
          <w:tcPr>
            <w:tcW w:w="7376" w:type="dxa"/>
          </w:tcPr>
          <w:p w:rsidR="00A15D69" w:rsidRDefault="00A15D69" w:rsidP="00A15D69">
            <w:r>
              <w:t>30</w:t>
            </w:r>
            <w:r w:rsidRPr="004D17CD">
              <w:t xml:space="preserve"> studenti iscritti a</w:t>
            </w:r>
            <w:r>
              <w:t>:</w:t>
            </w:r>
          </w:p>
          <w:p w:rsidR="00A15D69" w:rsidRDefault="00A15D69" w:rsidP="00A15D69">
            <w:r w:rsidRPr="004D17CD">
              <w:t>III anno dei corsi di laurea Triennale</w:t>
            </w:r>
            <w:r w:rsidR="008817B5">
              <w:t xml:space="preserve"> e </w:t>
            </w:r>
            <w:r w:rsidRPr="004D17CD">
              <w:t xml:space="preserve">I anno dei corsi di Laurea Specialistica delle Facoltà di Psicologia e </w:t>
            </w:r>
            <w:r>
              <w:t>Scienze Politiche e Sociali</w:t>
            </w:r>
            <w:r w:rsidR="008817B5">
              <w:t>.</w:t>
            </w:r>
          </w:p>
          <w:p w:rsidR="00A407A1" w:rsidRDefault="00A15D69" w:rsidP="00A15D69">
            <w:r w:rsidRPr="004D17CD">
              <w:t>I e II anno dei corsi di Laurea Specialistica della Facoltà di Economia.</w:t>
            </w:r>
            <w:r>
              <w:t xml:space="preserve"> </w:t>
            </w:r>
          </w:p>
          <w:p w:rsidR="008817B5" w:rsidRDefault="008817B5" w:rsidP="008817B5">
            <w:r>
              <w:t xml:space="preserve">II e III anno dei corsi della Facoltà di Scienze dell’Educazione e della Formazione. </w:t>
            </w:r>
          </w:p>
          <w:p w:rsidR="00A407A1" w:rsidRDefault="008817B5" w:rsidP="00A15D69">
            <w:r>
              <w:t>Quest</w:t>
            </w:r>
            <w:r w:rsidR="00A15D69">
              <w:t xml:space="preserve">e Facoltà riconoscono il percorso di Mission Exposure come parte integrante del curriculum accademico attribuendo dei crediti formativi all’esperienza. </w:t>
            </w:r>
          </w:p>
          <w:p w:rsidR="00A15D69" w:rsidRPr="004D17CD" w:rsidRDefault="00A15D69" w:rsidP="00A15D69">
            <w:r>
              <w:t xml:space="preserve">Studenti di Facoltà diverse da quelle sopra citate possono partecipare al percorso, ma senza un riconoscimento accademico da parte delle Facoltà stessa. </w:t>
            </w:r>
          </w:p>
          <w:p w:rsidR="00A15D69" w:rsidRPr="004D17CD" w:rsidRDefault="00A15D69" w:rsidP="00A15D69">
            <w:pPr>
              <w:tabs>
                <w:tab w:val="num" w:pos="426"/>
              </w:tabs>
              <w:ind w:left="362"/>
              <w:rPr>
                <w:rFonts w:ascii="Times New Roman" w:hAnsi="Times New Roman"/>
              </w:rPr>
            </w:pPr>
          </w:p>
        </w:tc>
      </w:tr>
      <w:tr w:rsidR="00A15D69" w:rsidRPr="004D17CD" w:rsidTr="00A15D69">
        <w:trPr>
          <w:trHeight w:val="898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>Obiettivo generale</w:t>
            </w:r>
          </w:p>
        </w:tc>
        <w:tc>
          <w:tcPr>
            <w:tcW w:w="7376" w:type="dxa"/>
          </w:tcPr>
          <w:p w:rsidR="00A15D69" w:rsidRPr="004D17CD" w:rsidRDefault="00A15D69" w:rsidP="00A15D69">
            <w:r w:rsidRPr="004D17CD">
              <w:t>Questa proposta mira ad offrire a</w:t>
            </w:r>
            <w:r>
              <w:t xml:space="preserve"> </w:t>
            </w:r>
            <w:r w:rsidRPr="004D17CD">
              <w:t xml:space="preserve">studenti dell’Università Cattolica un’esperienza in “terra di missione” che tenga insieme la crescita umana (e cristiana) nei soggetti e l’oggetto degli studi accademici. </w:t>
            </w:r>
          </w:p>
        </w:tc>
      </w:tr>
      <w:tr w:rsidR="00A15D69" w:rsidRPr="004D17CD" w:rsidTr="00A15D69">
        <w:trPr>
          <w:trHeight w:val="1262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lastRenderedPageBreak/>
              <w:t>Obiettivi specifici</w:t>
            </w:r>
          </w:p>
        </w:tc>
        <w:tc>
          <w:tcPr>
            <w:tcW w:w="7376" w:type="dxa"/>
          </w:tcPr>
          <w:p w:rsidR="00A15D69" w:rsidRPr="004D17CD" w:rsidRDefault="00A15D69" w:rsidP="00A15D69">
            <w:r w:rsidRPr="004D17CD">
              <w:t>Il percorso di preparazione e l'esperienza in missione sono pensati e strutturati perché gli studenti siano provocati a crescere personalmente, ad acquisire una più autentica conoscenza di sé (e del Signore), ad approfondire le proprie competenze accademiche e ad aprire lo sguardo sul mondo.</w:t>
            </w:r>
          </w:p>
        </w:tc>
      </w:tr>
      <w:tr w:rsidR="00A15D69" w:rsidRPr="004D17CD" w:rsidTr="00A15D69">
        <w:trPr>
          <w:trHeight w:val="624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>Attività previste</w:t>
            </w:r>
          </w:p>
        </w:tc>
        <w:tc>
          <w:tcPr>
            <w:tcW w:w="7376" w:type="dxa"/>
          </w:tcPr>
          <w:p w:rsidR="00A15D69" w:rsidRPr="004E0859" w:rsidRDefault="00A15D69" w:rsidP="00A15D69">
            <w:pPr>
              <w:rPr>
                <w:u w:val="single"/>
              </w:rPr>
            </w:pPr>
            <w:r w:rsidRPr="004E0859">
              <w:rPr>
                <w:u w:val="single"/>
              </w:rPr>
              <w:t>Promozione di un percorso di formazione</w:t>
            </w:r>
          </w:p>
          <w:p w:rsidR="00A15D69" w:rsidRPr="004D17CD" w:rsidRDefault="00A15D69" w:rsidP="00A15D69">
            <w:r>
              <w:t>P</w:t>
            </w:r>
            <w:r w:rsidRPr="004D17CD">
              <w:t xml:space="preserve">er potersi preparare all’esperienza in terra di missione si prevedono </w:t>
            </w:r>
            <w:r w:rsidR="008817B5">
              <w:t>8</w:t>
            </w:r>
            <w:r w:rsidRPr="004D17CD">
              <w:t xml:space="preserve"> incontri nel corso dell’anno accademico</w:t>
            </w:r>
            <w:r w:rsidR="004E0859">
              <w:t xml:space="preserve"> di cui </w:t>
            </w:r>
            <w:r w:rsidR="008817B5">
              <w:t>6</w:t>
            </w:r>
            <w:r w:rsidR="004E0859">
              <w:t xml:space="preserve"> in preparazione alla partenza e 2</w:t>
            </w:r>
            <w:r w:rsidRPr="004D17CD">
              <w:t xml:space="preserve"> </w:t>
            </w:r>
            <w:r w:rsidR="004E0859">
              <w:t>di</w:t>
            </w:r>
            <w:r w:rsidRPr="004D17CD">
              <w:t xml:space="preserve"> verifica dell’esperienza compiuta. Gli incontri </w:t>
            </w:r>
            <w:r>
              <w:t>hann</w:t>
            </w:r>
            <w:r w:rsidRPr="004D17CD">
              <w:t>o una sc</w:t>
            </w:r>
            <w:r>
              <w:t>adenza mensile</w:t>
            </w:r>
            <w:r w:rsidR="008817B5">
              <w:t xml:space="preserve"> e possono essere di 2 giorni (5</w:t>
            </w:r>
            <w:r w:rsidR="004E0859">
              <w:t xml:space="preserve"> incontri) o un giorno (3 incontri).</w:t>
            </w:r>
            <w:r>
              <w:t xml:space="preserve"> </w:t>
            </w:r>
          </w:p>
          <w:p w:rsidR="004E0859" w:rsidRDefault="004E0859" w:rsidP="00A15D69"/>
          <w:p w:rsidR="00A15D69" w:rsidRPr="004E0859" w:rsidRDefault="00A15D69" w:rsidP="00A15D69">
            <w:pPr>
              <w:rPr>
                <w:u w:val="single"/>
              </w:rPr>
            </w:pPr>
            <w:r w:rsidRPr="004E0859">
              <w:rPr>
                <w:u w:val="single"/>
              </w:rPr>
              <w:t>Selezione e preparazione alla partenza</w:t>
            </w:r>
          </w:p>
          <w:p w:rsidR="00A15D69" w:rsidRPr="004D17CD" w:rsidRDefault="00A15D69" w:rsidP="00A15D69">
            <w:r w:rsidRPr="004D17CD">
              <w:t xml:space="preserve">Il percorso formativo ha l'obiettivo di fornire agli studenti gli strumenti necessari per operare una scelta consapevole e matura in ordine all'opportunità </w:t>
            </w:r>
            <w:r>
              <w:t>“</w:t>
            </w:r>
            <w:r w:rsidRPr="004D17CD">
              <w:t>di partire per l'esperienza in missione</w:t>
            </w:r>
            <w:r>
              <w:t>”</w:t>
            </w:r>
            <w:r w:rsidRPr="004D17CD">
              <w:t xml:space="preserve">. La decisione dovrebbe maturare in modo condiviso tra l'equipe formatori (composta dall’Assistente del Centro Pastorale del PIME e degli altri responsabili del progetto) e lo studente. Nella valutazione si terrà conto anche del percorso accademico dello studente e delle sue competenze linguistiche. </w:t>
            </w:r>
          </w:p>
          <w:p w:rsidR="004E0859" w:rsidRDefault="004E0859" w:rsidP="00A15D69"/>
          <w:p w:rsidR="00A15D69" w:rsidRPr="004E0859" w:rsidRDefault="00A15D69" w:rsidP="00A15D69">
            <w:pPr>
              <w:rPr>
                <w:u w:val="single"/>
              </w:rPr>
            </w:pPr>
            <w:r w:rsidRPr="004E0859">
              <w:rPr>
                <w:u w:val="single"/>
              </w:rPr>
              <w:t>Realizzazione dell’esperienza di missione</w:t>
            </w:r>
          </w:p>
          <w:p w:rsidR="00A15D69" w:rsidRPr="004D17CD" w:rsidRDefault="00A15D69" w:rsidP="00A15D69">
            <w:r w:rsidRPr="004D17CD">
              <w:t>Per gli studenti è prevista un’esperienza della durata di un mese in missione. Solo per gli studenti di Economia del II anno di Magistrale che lo richiedono è possibile che l’esperienza venga considerata stage con l’attribuzione di 8 crediti</w:t>
            </w:r>
            <w:r>
              <w:t xml:space="preserve"> da parte della Facoltà</w:t>
            </w:r>
            <w:r w:rsidRPr="004D17CD">
              <w:t>, nel qual caso la durata dell’esperienza in missione è di due mesi.</w:t>
            </w:r>
          </w:p>
          <w:p w:rsidR="00B055AE" w:rsidRDefault="00B055AE" w:rsidP="00A15D69"/>
          <w:p w:rsidR="00A15D69" w:rsidRPr="00B055AE" w:rsidRDefault="00A15D69" w:rsidP="00A15D69">
            <w:pPr>
              <w:rPr>
                <w:u w:val="single"/>
              </w:rPr>
            </w:pPr>
            <w:r w:rsidRPr="00B055AE">
              <w:rPr>
                <w:u w:val="single"/>
              </w:rPr>
              <w:t>Valutazione del percorso</w:t>
            </w:r>
          </w:p>
          <w:p w:rsidR="00A15D69" w:rsidRPr="004D17CD" w:rsidRDefault="00A15D69" w:rsidP="00A15D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15D69" w:rsidRPr="004D17CD" w:rsidTr="00A15D69">
        <w:trPr>
          <w:trHeight w:val="638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>Istituzionali locali coinvolte</w:t>
            </w:r>
          </w:p>
        </w:tc>
        <w:tc>
          <w:tcPr>
            <w:tcW w:w="7376" w:type="dxa"/>
          </w:tcPr>
          <w:p w:rsidR="00A15D69" w:rsidRPr="004D17CD" w:rsidRDefault="00A15D69" w:rsidP="00A15D69">
            <w:r>
              <w:t>Missionari</w:t>
            </w:r>
            <w:r w:rsidRPr="004D17CD">
              <w:t xml:space="preserve"> del PIME</w:t>
            </w:r>
          </w:p>
          <w:p w:rsidR="00A15D69" w:rsidRPr="004D17CD" w:rsidRDefault="00A15D69" w:rsidP="00A15D69">
            <w:r w:rsidRPr="004D17CD">
              <w:t>Missionarie dell’Immacolata (PIME)</w:t>
            </w:r>
          </w:p>
          <w:p w:rsidR="00A15D69" w:rsidRDefault="00A15D69" w:rsidP="00A15D69">
            <w:r w:rsidRPr="004D17CD">
              <w:t>Missionari Comboniani</w:t>
            </w:r>
          </w:p>
          <w:p w:rsidR="00A15D69" w:rsidRPr="004D17CD" w:rsidRDefault="00A15D69" w:rsidP="00412D54">
            <w:pPr>
              <w:rPr>
                <w:rFonts w:ascii="Times New Roman" w:hAnsi="Times New Roman"/>
              </w:rPr>
            </w:pPr>
          </w:p>
        </w:tc>
      </w:tr>
      <w:tr w:rsidR="00A15D69" w:rsidRPr="004D17CD" w:rsidTr="00A15D69">
        <w:trPr>
          <w:trHeight w:val="624"/>
        </w:trPr>
        <w:tc>
          <w:tcPr>
            <w:tcW w:w="2518" w:type="dxa"/>
          </w:tcPr>
          <w:p w:rsidR="00A15D69" w:rsidRPr="004D17CD" w:rsidRDefault="00A15D69" w:rsidP="00A15D69">
            <w:pPr>
              <w:pStyle w:val="Titolo1"/>
            </w:pPr>
            <w:r w:rsidRPr="004D17CD">
              <w:t>Partner italiani e internazionali</w:t>
            </w:r>
          </w:p>
        </w:tc>
        <w:tc>
          <w:tcPr>
            <w:tcW w:w="7376" w:type="dxa"/>
          </w:tcPr>
          <w:p w:rsidR="00A15D69" w:rsidRPr="004D17CD" w:rsidRDefault="00A15D69" w:rsidP="004E0859">
            <w:pPr>
              <w:jc w:val="left"/>
            </w:pPr>
            <w:r w:rsidRPr="004D17CD">
              <w:t>PIME</w:t>
            </w:r>
          </w:p>
          <w:p w:rsidR="004E0859" w:rsidRDefault="004E0859" w:rsidP="004E0859">
            <w:pPr>
              <w:jc w:val="left"/>
            </w:pPr>
            <w:r>
              <w:t>Suore Maestre di Santa Dorotea</w:t>
            </w:r>
          </w:p>
          <w:p w:rsidR="008817B5" w:rsidRPr="004D17CD" w:rsidRDefault="008817B5" w:rsidP="004E0859">
            <w:pPr>
              <w:jc w:val="left"/>
            </w:pPr>
            <w:r w:rsidRPr="008817B5">
              <w:t>Ordine dei Frati Minori Francescani</w:t>
            </w:r>
          </w:p>
          <w:p w:rsidR="00A15D69" w:rsidRDefault="00A15D69" w:rsidP="004E0859">
            <w:pPr>
              <w:jc w:val="left"/>
            </w:pPr>
            <w:r>
              <w:t>Missionarie dell’Immacolata</w:t>
            </w:r>
            <w:r w:rsidR="004E0859">
              <w:br/>
            </w:r>
            <w:r w:rsidR="004E0859" w:rsidRPr="004D17CD">
              <w:t>ASC</w:t>
            </w:r>
            <w:r w:rsidR="004E0859">
              <w:t>S - Agenzia Scalabriniana per la Cooperazione allo Sviluppo</w:t>
            </w:r>
          </w:p>
          <w:p w:rsidR="008817B5" w:rsidRDefault="008817B5" w:rsidP="008817B5">
            <w:pPr>
              <w:jc w:val="left"/>
            </w:pPr>
            <w:r w:rsidRPr="004D17CD">
              <w:t>Missionari Comboniani</w:t>
            </w:r>
          </w:p>
          <w:p w:rsidR="00A15D69" w:rsidRPr="004D17CD" w:rsidRDefault="00A15D69" w:rsidP="00A15D69"/>
          <w:p w:rsidR="00A15D69" w:rsidRPr="008817B5" w:rsidRDefault="00A15D69" w:rsidP="00A15D69">
            <w:pPr>
              <w:autoSpaceDE w:val="0"/>
              <w:autoSpaceDN w:val="0"/>
              <w:adjustRightInd w:val="0"/>
              <w:ind w:left="34" w:firstLine="284"/>
            </w:pPr>
          </w:p>
        </w:tc>
      </w:tr>
      <w:tr w:rsidR="004E0859" w:rsidRPr="004D17CD" w:rsidTr="00A15D69">
        <w:trPr>
          <w:trHeight w:val="624"/>
        </w:trPr>
        <w:tc>
          <w:tcPr>
            <w:tcW w:w="2518" w:type="dxa"/>
          </w:tcPr>
          <w:p w:rsidR="004E0859" w:rsidRPr="004D17CD" w:rsidRDefault="004E0859" w:rsidP="00A15D69">
            <w:pPr>
              <w:pStyle w:val="Titolo1"/>
            </w:pPr>
          </w:p>
        </w:tc>
        <w:tc>
          <w:tcPr>
            <w:tcW w:w="7376" w:type="dxa"/>
          </w:tcPr>
          <w:p w:rsidR="004E0859" w:rsidRPr="004D17CD" w:rsidRDefault="004E0859" w:rsidP="00A15D69"/>
        </w:tc>
      </w:tr>
    </w:tbl>
    <w:p w:rsidR="000D567C" w:rsidRPr="004E0859" w:rsidRDefault="000D567C" w:rsidP="004E0859">
      <w:pPr>
        <w:rPr>
          <w:lang w:eastAsia="it-IT"/>
        </w:rPr>
      </w:pPr>
    </w:p>
    <w:sectPr w:rsidR="000D567C" w:rsidRPr="004E0859" w:rsidSect="001A3B3F">
      <w:headerReference w:type="first" r:id="rId8"/>
      <w:type w:val="continuous"/>
      <w:pgSz w:w="11907" w:h="16839" w:code="1"/>
      <w:pgMar w:top="1797" w:right="1134" w:bottom="1134" w:left="1134" w:header="958" w:footer="958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6F" w:rsidRDefault="00DE1B6F" w:rsidP="00EE4AC4">
      <w:r>
        <w:separator/>
      </w:r>
    </w:p>
  </w:endnote>
  <w:endnote w:type="continuationSeparator" w:id="0">
    <w:p w:rsidR="00DE1B6F" w:rsidRDefault="00DE1B6F" w:rsidP="00EE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6F" w:rsidRDefault="00DE1B6F" w:rsidP="00EE4AC4">
      <w:r>
        <w:separator/>
      </w:r>
    </w:p>
  </w:footnote>
  <w:footnote w:type="continuationSeparator" w:id="0">
    <w:p w:rsidR="00DE1B6F" w:rsidRDefault="00DE1B6F" w:rsidP="00EE4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C4" w:rsidRDefault="00E979E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2618105</wp:posOffset>
              </wp:positionH>
              <wp:positionV relativeFrom="paragraph">
                <wp:posOffset>-132080</wp:posOffset>
              </wp:positionV>
              <wp:extent cx="3230880" cy="7905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88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B3F" w:rsidRPr="006871DA" w:rsidRDefault="001A3B3F" w:rsidP="001A3B3F">
                          <w:pPr>
                            <w:jc w:val="right"/>
                            <w:rPr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6871DA">
                            <w:rPr>
                              <w:smallCaps/>
                              <w:color w:val="365F91" w:themeColor="accent1" w:themeShade="BF"/>
                              <w:sz w:val="32"/>
                              <w:szCs w:val="28"/>
                            </w:rPr>
                            <w:t xml:space="preserve">Centro Pastorale </w:t>
                          </w:r>
                          <w:proofErr w:type="spellStart"/>
                          <w:r w:rsidRPr="006871DA">
                            <w:rPr>
                              <w:smallCaps/>
                              <w:color w:val="365F91" w:themeColor="accent1" w:themeShade="BF"/>
                              <w:sz w:val="32"/>
                              <w:szCs w:val="28"/>
                            </w:rPr>
                            <w:t>Unicatt</w:t>
                          </w:r>
                          <w:proofErr w:type="spellEnd"/>
                          <w:r w:rsidRPr="006871DA">
                            <w:rPr>
                              <w:color w:val="365F91" w:themeColor="accent1" w:themeShade="BF"/>
                              <w:sz w:val="24"/>
                            </w:rPr>
                            <w:t xml:space="preserve"> </w:t>
                          </w:r>
                          <w:r w:rsidRPr="006871DA">
                            <w:rPr>
                              <w:color w:val="365F91" w:themeColor="accent1" w:themeShade="BF"/>
                              <w:sz w:val="28"/>
                              <w:szCs w:val="28"/>
                            </w:rPr>
                            <w:t>http://centropastorale.unicatt.it/</w:t>
                          </w:r>
                        </w:p>
                        <w:p w:rsidR="001A3B3F" w:rsidRPr="00DC5CA8" w:rsidRDefault="001A3B3F" w:rsidP="001A3B3F">
                          <w:pPr>
                            <w:jc w:val="right"/>
                            <w:rPr>
                              <w:rFonts w:ascii="Bradley Hand ITC" w:hAnsi="Bradley Hand ITC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6.15pt;margin-top:-10.4pt;width:254.4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+4tA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" filled="f" stroked="f">
              <v:textbox>
                <w:txbxContent>
                  <w:p w:rsidR="001A3B3F" w:rsidRPr="006871DA" w:rsidRDefault="001A3B3F" w:rsidP="001A3B3F">
                    <w:pPr>
                      <w:jc w:val="right"/>
                      <w:rPr>
                        <w:color w:val="365F91" w:themeColor="accent1" w:themeShade="BF"/>
                        <w:sz w:val="28"/>
                        <w:szCs w:val="28"/>
                      </w:rPr>
                    </w:pPr>
                    <w:r w:rsidRPr="006871DA">
                      <w:rPr>
                        <w:smallCaps/>
                        <w:color w:val="365F91" w:themeColor="accent1" w:themeShade="BF"/>
                        <w:sz w:val="32"/>
                        <w:szCs w:val="28"/>
                      </w:rPr>
                      <w:t xml:space="preserve">Centro Pastorale </w:t>
                    </w:r>
                    <w:proofErr w:type="spellStart"/>
                    <w:r w:rsidRPr="006871DA">
                      <w:rPr>
                        <w:smallCaps/>
                        <w:color w:val="365F91" w:themeColor="accent1" w:themeShade="BF"/>
                        <w:sz w:val="32"/>
                        <w:szCs w:val="28"/>
                      </w:rPr>
                      <w:t>Unicatt</w:t>
                    </w:r>
                    <w:proofErr w:type="spellEnd"/>
                    <w:r w:rsidRPr="006871DA">
                      <w:rPr>
                        <w:color w:val="365F91" w:themeColor="accent1" w:themeShade="BF"/>
                        <w:sz w:val="24"/>
                      </w:rPr>
                      <w:t xml:space="preserve"> </w:t>
                    </w:r>
                    <w:r w:rsidRPr="006871DA">
                      <w:rPr>
                        <w:color w:val="365F91" w:themeColor="accent1" w:themeShade="BF"/>
                        <w:sz w:val="28"/>
                        <w:szCs w:val="28"/>
                      </w:rPr>
                      <w:t>http://centropastorale.unicatt.it/</w:t>
                    </w:r>
                  </w:p>
                  <w:p w:rsidR="001A3B3F" w:rsidRPr="00DC5CA8" w:rsidRDefault="001A3B3F" w:rsidP="001A3B3F">
                    <w:pPr>
                      <w:jc w:val="right"/>
                      <w:rPr>
                        <w:rFonts w:ascii="Bradley Hand ITC" w:hAnsi="Bradley Hand ITC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EE4AC4">
      <w:rPr>
        <w:noProof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858520</wp:posOffset>
          </wp:positionH>
          <wp:positionV relativeFrom="page">
            <wp:posOffset>381000</wp:posOffset>
          </wp:positionV>
          <wp:extent cx="2286000" cy="9334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71B"/>
    <w:multiLevelType w:val="hybridMultilevel"/>
    <w:tmpl w:val="FD88EBDA"/>
    <w:lvl w:ilvl="0" w:tplc="0410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1">
    <w:nsid w:val="29322AD7"/>
    <w:multiLevelType w:val="hybridMultilevel"/>
    <w:tmpl w:val="6394988C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80"/>
  <w:drawingGridVertic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C4"/>
    <w:rsid w:val="000D567C"/>
    <w:rsid w:val="000D6B19"/>
    <w:rsid w:val="00131A96"/>
    <w:rsid w:val="001A3B3F"/>
    <w:rsid w:val="00290CF1"/>
    <w:rsid w:val="00412D54"/>
    <w:rsid w:val="00484B45"/>
    <w:rsid w:val="004E0859"/>
    <w:rsid w:val="00555BDF"/>
    <w:rsid w:val="005B184F"/>
    <w:rsid w:val="007704B7"/>
    <w:rsid w:val="008817B5"/>
    <w:rsid w:val="00A15D69"/>
    <w:rsid w:val="00A407A1"/>
    <w:rsid w:val="00B055AE"/>
    <w:rsid w:val="00B41FA9"/>
    <w:rsid w:val="00DC192E"/>
    <w:rsid w:val="00DE1B6F"/>
    <w:rsid w:val="00E979EC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B3F"/>
    <w:pPr>
      <w:spacing w:after="0" w:line="240" w:lineRule="auto"/>
      <w:jc w:val="both"/>
    </w:pPr>
    <w:rPr>
      <w:rFonts w:ascii="Candara" w:eastAsia="Calibri" w:hAnsi="Candara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0859"/>
    <w:pPr>
      <w:keepNext/>
      <w:keepLines/>
      <w:jc w:val="right"/>
      <w:outlineLvl w:val="0"/>
    </w:pPr>
    <w:rPr>
      <w:rFonts w:eastAsiaTheme="majorEastAsia" w:cstheme="majorBidi"/>
      <w:bCs/>
      <w:color w:val="365F91" w:themeColor="accent1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4A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AC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E4A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AC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B3F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0859"/>
    <w:rPr>
      <w:rFonts w:ascii="Candara" w:eastAsiaTheme="majorEastAsia" w:hAnsi="Candara" w:cstheme="majorBidi"/>
      <w:bCs/>
      <w:color w:val="365F91" w:themeColor="accent1" w:themeShade="BF"/>
      <w:sz w:val="24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3B3F"/>
    <w:pPr>
      <w:pBdr>
        <w:bottom w:val="single" w:sz="8" w:space="4" w:color="FFC000"/>
      </w:pBdr>
      <w:spacing w:after="300"/>
      <w:contextualSpacing/>
      <w:jc w:val="center"/>
      <w:outlineLvl w:val="0"/>
    </w:pPr>
    <w:rPr>
      <w:rFonts w:eastAsiaTheme="majorEastAsia" w:cstheme="majorBidi"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A3B3F"/>
    <w:rPr>
      <w:rFonts w:ascii="Candara" w:eastAsiaTheme="majorEastAsia" w:hAnsi="Candara" w:cstheme="majorBidi"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3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B3F"/>
    <w:pPr>
      <w:spacing w:after="0" w:line="240" w:lineRule="auto"/>
      <w:jc w:val="both"/>
    </w:pPr>
    <w:rPr>
      <w:rFonts w:ascii="Candara" w:eastAsia="Calibri" w:hAnsi="Candara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0859"/>
    <w:pPr>
      <w:keepNext/>
      <w:keepLines/>
      <w:jc w:val="right"/>
      <w:outlineLvl w:val="0"/>
    </w:pPr>
    <w:rPr>
      <w:rFonts w:eastAsiaTheme="majorEastAsia" w:cstheme="majorBidi"/>
      <w:bCs/>
      <w:color w:val="365F91" w:themeColor="accent1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4A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AC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E4A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AC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B3F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0859"/>
    <w:rPr>
      <w:rFonts w:ascii="Candara" w:eastAsiaTheme="majorEastAsia" w:hAnsi="Candara" w:cstheme="majorBidi"/>
      <w:bCs/>
      <w:color w:val="365F91" w:themeColor="accent1" w:themeShade="BF"/>
      <w:sz w:val="24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3B3F"/>
    <w:pPr>
      <w:pBdr>
        <w:bottom w:val="single" w:sz="8" w:space="4" w:color="FFC000"/>
      </w:pBdr>
      <w:spacing w:after="300"/>
      <w:contextualSpacing/>
      <w:jc w:val="center"/>
      <w:outlineLvl w:val="0"/>
    </w:pPr>
    <w:rPr>
      <w:rFonts w:eastAsiaTheme="majorEastAsia" w:cstheme="majorBidi"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A3B3F"/>
    <w:rPr>
      <w:rFonts w:ascii="Candara" w:eastAsiaTheme="majorEastAsia" w:hAnsi="Candara" w:cstheme="majorBidi"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3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Criscione</dc:creator>
  <cp:lastModifiedBy>Alessandro Motti</cp:lastModifiedBy>
  <cp:revision>2</cp:revision>
  <cp:lastPrinted>2015-11-17T11:33:00Z</cp:lastPrinted>
  <dcterms:created xsi:type="dcterms:W3CDTF">2019-11-15T13:28:00Z</dcterms:created>
  <dcterms:modified xsi:type="dcterms:W3CDTF">2019-11-15T13:28:00Z</dcterms:modified>
</cp:coreProperties>
</file>